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default" w:ascii="LinTimes" w:hAnsi="LinTimes" w:eastAsia="黑体" w:cs="LinTimes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LinTimes" w:hAnsi="LinTimes" w:eastAsia="黑体" w:cs="LinTimes"/>
          <w:color w:val="000000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560" w:lineRule="exact"/>
        <w:rPr>
          <w:rFonts w:hint="default" w:ascii="LinTimes" w:hAnsi="LinTimes" w:eastAsia="黑体" w:cs="LinTimes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default" w:ascii="LinTimes" w:hAnsi="LinTimes" w:eastAsia="黑体" w:cs="LinTimes"/>
          <w:color w:val="000000"/>
          <w:sz w:val="36"/>
          <w:szCs w:val="36"/>
        </w:rPr>
      </w:pPr>
      <w:r>
        <w:rPr>
          <w:rFonts w:hint="default" w:ascii="LinTimes" w:hAnsi="LinTimes" w:eastAsia="黑体" w:cs="LinTimes"/>
          <w:color w:val="000000"/>
          <w:sz w:val="36"/>
          <w:szCs w:val="36"/>
        </w:rPr>
        <w:t>符合申领汽车及摩托车出口许可证条件企业申请汇总表</w:t>
      </w:r>
    </w:p>
    <w:p>
      <w:pPr>
        <w:pStyle w:val="4"/>
        <w:spacing w:before="0" w:beforeAutospacing="0" w:after="163" w:afterAutospacing="0"/>
        <w:jc w:val="both"/>
        <w:rPr>
          <w:rFonts w:hint="default" w:ascii="LinTimes" w:hAnsi="LinTimes" w:eastAsia="仿宋_GB2312" w:cs="LinTimes"/>
          <w:color w:val="000000"/>
          <w:sz w:val="28"/>
        </w:rPr>
      </w:pPr>
      <w:r>
        <w:rPr>
          <w:rFonts w:hint="default" w:ascii="LinTimes" w:hAnsi="LinTimes" w:eastAsia="仿宋_GB2312" w:cs="LinTimes"/>
          <w:color w:val="000000"/>
          <w:sz w:val="28"/>
        </w:rPr>
        <w:t>地方商务主管部门名称</w:t>
      </w:r>
      <w:r>
        <w:rPr>
          <w:rFonts w:hint="eastAsia" w:ascii="LinTimes" w:hAnsi="LinTimes" w:eastAsia="仿宋_GB2312" w:cs="LinTimes"/>
          <w:color w:val="000000"/>
          <w:sz w:val="28"/>
          <w:lang w:eastAsia="zh-CN"/>
        </w:rPr>
        <w:t>（</w:t>
      </w:r>
      <w:r>
        <w:rPr>
          <w:rFonts w:hint="default" w:ascii="LinTimes" w:hAnsi="LinTimes" w:eastAsia="仿宋_GB2312" w:cs="LinTimes"/>
          <w:color w:val="000000"/>
          <w:sz w:val="28"/>
        </w:rPr>
        <w:t>盖章</w:t>
      </w:r>
      <w:r>
        <w:rPr>
          <w:rFonts w:hint="eastAsia" w:ascii="LinTimes" w:hAnsi="LinTimes" w:eastAsia="仿宋_GB2312" w:cs="LinTimes"/>
          <w:color w:val="000000"/>
          <w:sz w:val="28"/>
          <w:lang w:eastAsia="zh-CN"/>
        </w:rPr>
        <w:t>）</w:t>
      </w:r>
      <w:r>
        <w:rPr>
          <w:rFonts w:hint="default" w:ascii="LinTimes" w:hAnsi="LinTimes" w:eastAsia="仿宋_GB2312" w:cs="LinTimes"/>
          <w:color w:val="000000"/>
          <w:sz w:val="28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15"/>
        <w:gridCol w:w="993"/>
        <w:gridCol w:w="1823"/>
        <w:gridCol w:w="1904"/>
        <w:gridCol w:w="1538"/>
        <w:gridCol w:w="1837"/>
        <w:gridCol w:w="1735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35" w:type="dxa"/>
            <w:gridSpan w:val="4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生产企业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6172" w:type="dxa"/>
            <w:gridSpan w:val="3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授权出口经营企业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企业海关</w:t>
            </w:r>
            <w:r>
              <w:rPr>
                <w:rFonts w:hint="eastAsia" w:ascii="LinTimes" w:hAnsi="LinTimes" w:eastAsia="仿宋_GB2312" w:cs="LinTimes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注册编码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pStyle w:val="4"/>
              <w:spacing w:after="163"/>
              <w:jc w:val="center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  <w:r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65" w:type="dxa"/>
            <w:vMerge w:val="restart"/>
            <w:noWrap w:val="0"/>
            <w:vAlign w:val="top"/>
          </w:tcPr>
          <w:p>
            <w:pPr>
              <w:pStyle w:val="4"/>
              <w:spacing w:after="163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noWrap w:val="0"/>
            <w:vAlign w:val="top"/>
          </w:tcPr>
          <w:p>
            <w:pPr>
              <w:pStyle w:val="4"/>
              <w:spacing w:after="163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pStyle w:val="4"/>
              <w:spacing w:after="163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pStyle w:val="4"/>
              <w:jc w:val="both"/>
              <w:rPr>
                <w:rFonts w:hint="default" w:ascii="LinTimes" w:hAnsi="LinTimes" w:eastAsia="仿宋_GB2312" w:cs="LinTimes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spacing w:after="120"/>
        <w:jc w:val="both"/>
      </w:pPr>
      <w:r>
        <w:rPr>
          <w:rFonts w:hint="eastAsia" w:ascii="仿宋_GB2312" w:hAnsi="仿宋_GB2312" w:eastAsia="仿宋_GB2312" w:cs="仿宋_GB2312"/>
          <w:color w:val="000000"/>
        </w:rPr>
        <w:t>地方商务主管部门联系人：                          座机：                手机：               传真：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nTimes">
    <w:altName w:val="Nimbus Roman No9 L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BABC5DE"/>
    <w:rsid w:val="FEEFE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2023-09-15T19:48:40Z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